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583AECA0" w14:textId="41E16743" w:rsidR="006C65A5" w:rsidRPr="007719B3" w:rsidRDefault="00BE78BD" w:rsidP="006C65A5">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Top overexpression candidates included glucose importers, phosphofructokinase (r10), pyruvate carboxylase (r19</w:t>
      </w:r>
      <w:proofErr w:type="gramStart"/>
      <w:r w:rsidR="006C65A5">
        <w:rPr>
          <w:rFonts w:ascii="Times New Roman" w:hAnsi="Times New Roman" w:cs="Times New Roman"/>
          <w:bCs/>
        </w:rPr>
        <w:t>),  and</w:t>
      </w:r>
      <w:proofErr w:type="gramEnd"/>
      <w:r w:rsidR="006C65A5">
        <w:rPr>
          <w:rFonts w:ascii="Times New Roman" w:hAnsi="Times New Roman" w:cs="Times New Roman"/>
          <w:bCs/>
        </w:rPr>
        <w:t xml:space="preserve"> mitochondrial aspartate transaminase (r258m), and fructose-bisphosphate aldolase (r12a). Top repression candidates included ALD6, which converts 3-oxoproprionate to Acetyl-CoA, HNO</w:t>
      </w:r>
      <w:r w:rsidR="006C65A5" w:rsidRPr="007719B3">
        <w:rPr>
          <w:rFonts w:ascii="Times New Roman" w:hAnsi="Times New Roman" w:cs="Times New Roman"/>
          <w:bCs/>
          <w:vertAlign w:val="subscript"/>
        </w:rPr>
        <w:t>3</w:t>
      </w:r>
      <w:r w:rsidR="006C65A5">
        <w:rPr>
          <w:rFonts w:ascii="Times New Roman" w:hAnsi="Times New Roman" w:cs="Times New Roman"/>
          <w:bCs/>
        </w:rPr>
        <w:t xml:space="preserve"> export, D-gluconate export, transport of acetaldehyde from the cytosol to the mitochondria (r1148) and malate dehydrogenase (r44).  These results were compared against single modal correlation analyses between enzymes and 3HP flux. </w:t>
      </w:r>
    </w:p>
    <w:p w14:paraId="46BE61D4" w14:textId="67949DF9" w:rsidR="00246E17" w:rsidRPr="003C0B1E" w:rsidRDefault="00246E17" w:rsidP="009C6DA8">
      <w:pPr>
        <w:spacing w:line="240" w:lineRule="auto"/>
        <w:jc w:val="both"/>
        <w:rPr>
          <w:rFonts w:ascii="Times New Roman" w:hAnsi="Times New Roman" w:cs="Times New Roman"/>
          <w:bCs/>
        </w:rPr>
      </w:pP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2206D051"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FF4ED3F" w14:textId="05030CD7" w:rsidR="00C566FD" w:rsidRPr="005235D2" w:rsidRDefault="00C566FD" w:rsidP="005235D2">
      <w:pPr>
        <w:spacing w:line="240" w:lineRule="auto"/>
        <w:rPr>
          <w:rFonts w:ascii="Times New Roman" w:hAnsi="Times New Roman" w:cs="Times New Roman"/>
        </w:rPr>
      </w:pPr>
    </w:p>
    <w:p w14:paraId="4132AC2A" w14:textId="40875C2B"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2)</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433F1BC2" w:rsidR="005E1762" w:rsidRDefault="00747086" w:rsidP="00C95F3D">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718C92D" wp14:editId="04B6A1E4">
            <wp:extent cx="3003988" cy="2002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3003988" cy="2002658"/>
                    </a:xfrm>
                    <a:prstGeom prst="rect">
                      <a:avLst/>
                    </a:prstGeom>
                  </pic:spPr>
                </pic:pic>
              </a:graphicData>
            </a:graphic>
          </wp:inline>
        </w:drawing>
      </w:r>
    </w:p>
    <w:p w14:paraId="0B0649F9" w14:textId="60ADD467"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Fig. 2.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172FA4E4" w:rsidR="00502073" w:rsidRDefault="00747086" w:rsidP="00B36F50">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19D588DC" wp14:editId="5F064D33">
            <wp:extent cx="4073175" cy="3133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96DAC541-7B7A-43D3-8B79-37D633B846F1}">
                          <asvg:svgBlip xmlns:asvg="http://schemas.microsoft.com/office/drawing/2016/SVG/main" r:embed="rId11"/>
                        </a:ext>
                      </a:extLst>
                    </a:blip>
                    <a:stretch>
                      <a:fillRect/>
                    </a:stretch>
                  </pic:blipFill>
                  <pic:spPr>
                    <a:xfrm>
                      <a:off x="0" y="0"/>
                      <a:ext cx="4073175" cy="3133211"/>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6F34A621"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w:t>
      </w:r>
      <w:r w:rsidR="004A3DFF">
        <w:rPr>
          <w:rFonts w:ascii="Times New Roman" w:hAnsi="Times New Roman" w:cs="Times New Roman"/>
          <w:bCs/>
        </w:rPr>
        <w:lastRenderedPageBreak/>
        <w:t xml:space="preserve">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The results show that </w:t>
      </w:r>
      <w:r w:rsidR="007719B3">
        <w:rPr>
          <w:rFonts w:ascii="Times New Roman" w:hAnsi="Times New Roman" w:cs="Times New Roman"/>
          <w:bCs/>
        </w:rPr>
        <w:t>five</w:t>
      </w:r>
      <w:r w:rsidR="00F34982">
        <w:rPr>
          <w:rFonts w:ascii="Times New Roman" w:hAnsi="Times New Roman" w:cs="Times New Roman"/>
          <w:bCs/>
        </w:rPr>
        <w:t xml:space="preserve"> enzymes in the </w:t>
      </w:r>
      <w:r w:rsidR="00437E56">
        <w:rPr>
          <w:rFonts w:ascii="Times New Roman" w:hAnsi="Times New Roman" w:cs="Times New Roman"/>
          <w:bCs/>
        </w:rPr>
        <w:t>3HP</w:t>
      </w:r>
      <w:r w:rsidR="00F34982">
        <w:rPr>
          <w:rFonts w:ascii="Times New Roman" w:hAnsi="Times New Roman" w:cs="Times New Roman"/>
          <w:bCs/>
        </w:rPr>
        <w:t xml:space="preserve"> synthesis pathway are predicted to have the highest overall control on</w:t>
      </w:r>
      <w:r w:rsidR="007719B3">
        <w:rPr>
          <w:rFonts w:ascii="Times New Roman" w:hAnsi="Times New Roman" w:cs="Times New Roman"/>
          <w:bCs/>
        </w:rPr>
        <w:t xml:space="preserve"> 3HP productivity.  The largest flux control coefficient by far was glucose uptake, but this may not be a useful </w:t>
      </w:r>
      <w:r w:rsidR="0082221A">
        <w:rPr>
          <w:rFonts w:ascii="Times New Roman" w:hAnsi="Times New Roman" w:cs="Times New Roman"/>
          <w:bCs/>
        </w:rPr>
        <w:t xml:space="preserve">overexpression </w:t>
      </w:r>
      <w:r w:rsidR="007719B3">
        <w:rPr>
          <w:rFonts w:ascii="Times New Roman" w:hAnsi="Times New Roman" w:cs="Times New Roman"/>
          <w:bCs/>
        </w:rPr>
        <w:t xml:space="preserve">target. </w:t>
      </w:r>
      <w:r w:rsidR="009274E9">
        <w:rPr>
          <w:rFonts w:ascii="Times New Roman" w:hAnsi="Times New Roman" w:cs="Times New Roman"/>
          <w:bCs/>
        </w:rPr>
        <w:t>Other overexpression 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9274E9">
        <w:rPr>
          <w:rFonts w:ascii="Times New Roman" w:hAnsi="Times New Roman" w:cs="Times New Roman"/>
          <w:bCs/>
        </w:rPr>
        <w:t>phosphofructokinase (r10), pyruvate carboxylase (r19</w:t>
      </w:r>
      <w:proofErr w:type="gramStart"/>
      <w:r w:rsidR="009274E9">
        <w:rPr>
          <w:rFonts w:ascii="Times New Roman" w:hAnsi="Times New Roman" w:cs="Times New Roman"/>
          <w:bCs/>
        </w:rPr>
        <w:t>),  and</w:t>
      </w:r>
      <w:proofErr w:type="gramEnd"/>
      <w:r w:rsidR="009274E9">
        <w:rPr>
          <w:rFonts w:ascii="Times New Roman" w:hAnsi="Times New Roman" w:cs="Times New Roman"/>
          <w:bCs/>
        </w:rPr>
        <w:t xml:space="preserve"> mitochondrial aspartate transaminase (r258m), and fructose-bisphosphate aldolase (r12a).</w:t>
      </w:r>
    </w:p>
    <w:p w14:paraId="3CB2DE62" w14:textId="6A3E9990"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ALD6, which converts 3-oxoproprionate to Acetyl-CoA, HNO</w:t>
      </w:r>
      <w:r w:rsidR="007719B3" w:rsidRPr="007719B3">
        <w:rPr>
          <w:rFonts w:ascii="Times New Roman" w:hAnsi="Times New Roman" w:cs="Times New Roman"/>
          <w:bCs/>
          <w:vertAlign w:val="subscript"/>
        </w:rPr>
        <w:t>3</w:t>
      </w:r>
      <w:r w:rsidR="007719B3">
        <w:rPr>
          <w:rFonts w:ascii="Times New Roman" w:hAnsi="Times New Roman" w:cs="Times New Roman"/>
          <w:bCs/>
        </w:rPr>
        <w:t xml:space="preserve"> export, D-gluconate export, transport of acetaldehyde from the cytosol to the mitochondria</w:t>
      </w:r>
      <w:r>
        <w:rPr>
          <w:rFonts w:ascii="Times New Roman" w:hAnsi="Times New Roman" w:cs="Times New Roman"/>
          <w:bCs/>
        </w:rPr>
        <w:t xml:space="preserve"> (r1148)</w:t>
      </w:r>
      <w:r w:rsidR="00893D67">
        <w:rPr>
          <w:rFonts w:ascii="Times New Roman" w:hAnsi="Times New Roman" w:cs="Times New Roman"/>
          <w:bCs/>
        </w:rPr>
        <w:t xml:space="preserve"> and malate dehydrogenase (r44)</w:t>
      </w:r>
      <w:r w:rsidR="007719B3">
        <w:rPr>
          <w:rFonts w:ascii="Times New Roman" w:hAnsi="Times New Roman" w:cs="Times New Roman"/>
          <w:bCs/>
        </w:rPr>
        <w:t xml:space="preserve">.  Of these, </w:t>
      </w:r>
      <w:r>
        <w:rPr>
          <w:rFonts w:ascii="Times New Roman" w:hAnsi="Times New Roman" w:cs="Times New Roman"/>
          <w:bCs/>
        </w:rPr>
        <w:t>ALD6 and r1148 are</w:t>
      </w:r>
      <w:r w:rsidR="0082221A">
        <w:rPr>
          <w:rFonts w:ascii="Times New Roman" w:hAnsi="Times New Roman" w:cs="Times New Roman"/>
          <w:bCs/>
        </w:rPr>
        <w:t xml:space="preserve"> likely</w:t>
      </w:r>
      <w:r w:rsidR="007719B3">
        <w:rPr>
          <w:rFonts w:ascii="Times New Roman" w:hAnsi="Times New Roman" w:cs="Times New Roman"/>
          <w:bCs/>
        </w:rPr>
        <w:t xml:space="preserve"> the best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Pr>
          <w:rFonts w:ascii="Times New Roman" w:hAnsi="Times New Roman" w:cs="Times New Roman"/>
          <w:bCs/>
        </w:rPr>
        <w:t>s</w:t>
      </w:r>
      <w:r w:rsidR="007719B3">
        <w:rPr>
          <w:rFonts w:ascii="Times New Roman" w:hAnsi="Times New Roman" w:cs="Times New Roman"/>
          <w:bCs/>
        </w:rPr>
        <w:t xml:space="preserve"> for </w:t>
      </w:r>
      <w:r>
        <w:rPr>
          <w:rFonts w:ascii="Times New Roman" w:hAnsi="Times New Roman" w:cs="Times New Roman"/>
          <w:bCs/>
        </w:rPr>
        <w:t>knockout or repression</w:t>
      </w:r>
      <w:r w:rsidR="003C1840">
        <w:rPr>
          <w:rFonts w:ascii="Times New Roman" w:hAnsi="Times New Roman" w:cs="Times New Roman"/>
          <w:bCs/>
        </w:rPr>
        <w:t>.</w:t>
      </w:r>
    </w:p>
    <w:p w14:paraId="36294954" w14:textId="53D1BD5E" w:rsidR="00502073" w:rsidRDefault="00747086" w:rsidP="00AC3CE4">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305A9731" wp14:editId="3FBB7EE8">
            <wp:extent cx="594360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773680"/>
                    </a:xfrm>
                    <a:prstGeom prst="rect">
                      <a:avLst/>
                    </a:prstGeom>
                  </pic:spPr>
                </pic:pic>
              </a:graphicData>
            </a:graphic>
          </wp:inline>
        </w:drawing>
      </w:r>
    </w:p>
    <w:p w14:paraId="5F70B0A1" w14:textId="2995B9EA"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3351A608"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potential </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5"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aspartate alpha-decarboxylase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076C2F2E">
            <wp:extent cx="5931452"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96DAC541-7B7A-43D3-8B79-37D633B846F1}">
                          <asvg:svgBlip xmlns:asvg="http://schemas.microsoft.com/office/drawing/2016/SVG/main" r:embed="rId17"/>
                        </a:ext>
                      </a:extLst>
                    </a:blip>
                    <a:stretch>
                      <a:fillRect/>
                    </a:stretch>
                  </pic:blipFill>
                  <pic:spPr>
                    <a:xfrm>
                      <a:off x="0" y="0"/>
                      <a:ext cx="5931452"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0D519C4E" w:rsidR="00D05870" w:rsidRP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E8B9045" w14:textId="77777777"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74E9609F" w14:textId="48F5D6E9" w:rsidR="00EA4E27" w:rsidRDefault="00EA4E27" w:rsidP="00EA4E27">
      <w:pPr>
        <w:pStyle w:val="Caption"/>
        <w:keepNext/>
        <w:jc w:val="both"/>
      </w:pPr>
      <w:r>
        <w:t xml:space="preserve">Table </w:t>
      </w:r>
      <w:fldSimple w:instr=" SEQ Table \* ARABIC ">
        <w:r>
          <w:rPr>
            <w:noProof/>
          </w:rPr>
          <w:t>1</w:t>
        </w:r>
      </w:fldSimple>
      <w:r>
        <w:t xml:space="preserve">  E</w:t>
      </w:r>
      <w:r w:rsidRPr="00C10302">
        <w:t xml:space="preserve">ngineered strains designed to produce 3HP in A. </w:t>
      </w:r>
      <w:proofErr w:type="spellStart"/>
      <w:r w:rsidRPr="00C10302">
        <w:t>niger</w:t>
      </w:r>
      <w:proofErr w:type="spellEnd"/>
    </w:p>
    <w:p w14:paraId="1286A7D8" w14:textId="475757B7" w:rsidR="00354BCF" w:rsidRPr="002C2467" w:rsidRDefault="00EA4E27" w:rsidP="00DF21F1">
      <w:pPr>
        <w:spacing w:after="0" w:line="240" w:lineRule="auto"/>
        <w:jc w:val="both"/>
        <w:rPr>
          <w:rFonts w:ascii="Times New Roman" w:hAnsi="Times New Roman" w:cs="Times New Roman"/>
          <w:b/>
          <w:u w:val="single"/>
        </w:rPr>
      </w:pPr>
      <w:r>
        <w:rPr>
          <w:rFonts w:ascii="Times New Roman" w:hAnsi="Times New Roman" w:cs="Times New Roman"/>
          <w:bCs/>
          <w:iCs/>
          <w:noProof/>
        </w:rPr>
        <w:drawing>
          <wp:inline distT="0" distB="0" distL="0" distR="0" wp14:anchorId="75100C4A" wp14:editId="737A7957">
            <wp:extent cx="5943600" cy="4320540"/>
            <wp:effectExtent l="0" t="0" r="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18"/>
                    <a:stretch>
                      <a:fillRect/>
                    </a:stretch>
                  </pic:blipFill>
                  <pic:spPr>
                    <a:xfrm>
                      <a:off x="0" y="0"/>
                      <a:ext cx="5943600" cy="4320540"/>
                    </a:xfrm>
                    <a:prstGeom prst="rect">
                      <a:avLst/>
                    </a:prstGeom>
                  </pic:spPr>
                </pic:pic>
              </a:graphicData>
            </a:graphic>
          </wp:inline>
        </w:drawing>
      </w: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A5E98"/>
    <w:rsid w:val="000B2E36"/>
    <w:rsid w:val="000B3AE6"/>
    <w:rsid w:val="000B3CBF"/>
    <w:rsid w:val="000B4D28"/>
    <w:rsid w:val="000B7BB1"/>
    <w:rsid w:val="000C6BBC"/>
    <w:rsid w:val="000D5A70"/>
    <w:rsid w:val="000E2367"/>
    <w:rsid w:val="000E7A16"/>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47086"/>
    <w:rsid w:val="007504B4"/>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5CC0"/>
    <w:rsid w:val="007C0A39"/>
    <w:rsid w:val="007C55CC"/>
    <w:rsid w:val="007D369B"/>
    <w:rsid w:val="007E2136"/>
    <w:rsid w:val="00800195"/>
    <w:rsid w:val="00804F39"/>
    <w:rsid w:val="0081763A"/>
    <w:rsid w:val="0082221A"/>
    <w:rsid w:val="00825C16"/>
    <w:rsid w:val="00832B43"/>
    <w:rsid w:val="008468BA"/>
    <w:rsid w:val="00857440"/>
    <w:rsid w:val="00861469"/>
    <w:rsid w:val="0088154C"/>
    <w:rsid w:val="00883486"/>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1C59"/>
    <w:rsid w:val="009C5BFD"/>
    <w:rsid w:val="009C6DA8"/>
    <w:rsid w:val="009E232A"/>
    <w:rsid w:val="009E74F4"/>
    <w:rsid w:val="009F382A"/>
    <w:rsid w:val="00A0657A"/>
    <w:rsid w:val="00A07A80"/>
    <w:rsid w:val="00A10502"/>
    <w:rsid w:val="00A11D06"/>
    <w:rsid w:val="00A14AEB"/>
    <w:rsid w:val="00A172E7"/>
    <w:rsid w:val="00A21129"/>
    <w:rsid w:val="00A2717F"/>
    <w:rsid w:val="00A3304D"/>
    <w:rsid w:val="00A3305E"/>
    <w:rsid w:val="00A3413D"/>
    <w:rsid w:val="00A34F20"/>
    <w:rsid w:val="00A35415"/>
    <w:rsid w:val="00A5374E"/>
    <w:rsid w:val="00A54B01"/>
    <w:rsid w:val="00A63C7D"/>
    <w:rsid w:val="00A64E7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C7EF4"/>
    <w:rsid w:val="00ED3555"/>
    <w:rsid w:val="00ED395F"/>
    <w:rsid w:val="00ED60DD"/>
    <w:rsid w:val="00EE2066"/>
    <w:rsid w:val="00EE5B68"/>
    <w:rsid w:val="00F057D2"/>
    <w:rsid w:val="00F07B09"/>
    <w:rsid w:val="00F20A20"/>
    <w:rsid w:val="00F21152"/>
    <w:rsid w:val="00F218F0"/>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sv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hyperlink" Target="https://registry.agilebiofoundry.org/entry/8348"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Pages>
  <Words>3007</Words>
  <Characters>17144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20111</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6</cp:revision>
  <dcterms:created xsi:type="dcterms:W3CDTF">2021-09-22T07:33:00Z</dcterms:created>
  <dcterms:modified xsi:type="dcterms:W3CDTF">2021-09-28T17:10:00Z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